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FF145" w14:textId="77777777" w:rsidR="003C484B" w:rsidRDefault="00240CE6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>
        <w:rPr>
          <w:noProof/>
        </w:rPr>
        <w:drawing>
          <wp:inline distT="0" distB="0" distL="0" distR="0" wp14:anchorId="5E23FAD3" wp14:editId="16CE3259">
            <wp:extent cx="5400040" cy="3037840"/>
            <wp:effectExtent l="0" t="0" r="0" b="0"/>
            <wp:docPr id="206571974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A169" w14:textId="77777777" w:rsidR="003C484B" w:rsidRDefault="003C484B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1CC8A298" w14:textId="35D64EEC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L'IBI i el ICIO. </w:t>
      </w:r>
      <w:proofErr w:type="spellStart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Els</w:t>
      </w:r>
      <w:proofErr w:type="spellEnd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privilegis</w:t>
      </w:r>
      <w:proofErr w:type="spellEnd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tributaris</w:t>
      </w:r>
      <w:proofErr w:type="spellEnd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de </w:t>
      </w:r>
      <w:proofErr w:type="spellStart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l'Església</w:t>
      </w:r>
      <w:proofErr w:type="spellEnd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en </w:t>
      </w:r>
      <w:proofErr w:type="spellStart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l'administració</w:t>
      </w:r>
      <w:proofErr w:type="spellEnd"/>
      <w:r w:rsidRPr="003C484B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 xml:space="preserve"> local.</w:t>
      </w:r>
    </w:p>
    <w:p w14:paraId="5812548B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52424298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216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Visualitzacions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</w:p>
    <w:p w14:paraId="5301A2D9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0D152AD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Novembre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22, 2021 </w:t>
      </w:r>
    </w:p>
    <w:p w14:paraId="795D6347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EB68FFC" w14:textId="5F614372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Col·loqui-debat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organitzat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pel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Institut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d'*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Estudis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*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Politics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realitzat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22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novembre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2021,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participació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de:</w:t>
      </w:r>
    </w:p>
    <w:p w14:paraId="0CBE78DD" w14:textId="316543A2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</w:t>
      </w:r>
      <w:r w:rsidRPr="003C484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Juan José Picó Pastor</w:t>
      </w: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president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d'Europa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Laica, qui va tractar de les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qüestions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polítiques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subjacents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els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acords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pre-constitucionals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el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Concordat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Santa Seu. </w:t>
      </w:r>
    </w:p>
    <w:p w14:paraId="022F6040" w14:textId="20FDD6C8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 w:rsidRPr="003C484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Teresa Calvo Sales</w:t>
      </w: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advocada, especialista en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gestió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tributària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TAG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l'Ajuntament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Madrid i una de les responsables de la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històrica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sentència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TJUE del 27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juny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2017 que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prohibeix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l'exempció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fiscal en el ICIO per 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locals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fi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dels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quals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no siga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estrictament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religiós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qui va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plantejar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l'abast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detalls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litigi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6E8C1FEF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</w:t>
      </w:r>
      <w:r w:rsidRPr="003C484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>Borja Sanjuán Roca,</w:t>
      </w: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Regidor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d'Hisenda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l'Ajuntament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València, que va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exposar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la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situació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actual 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l'ajuntament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València, les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seues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raons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perspectives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</w:t>
      </w:r>
    </w:p>
    <w:p w14:paraId="4B8A27CE" w14:textId="77777777" w:rsid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10B205DF" w14:textId="452585C8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Modera: </w:t>
      </w:r>
      <w:r w:rsidRPr="003C484B">
        <w:rPr>
          <w:rFonts w:ascii="Arial" w:eastAsia="Times New Roman" w:hAnsi="Arial" w:cs="Arial"/>
          <w:b/>
          <w:bCs/>
          <w:color w:val="0F0F0F"/>
          <w:kern w:val="36"/>
          <w:sz w:val="24"/>
          <w:szCs w:val="24"/>
          <w:lang w:eastAsia="es-ES"/>
          <w14:ligatures w14:val="none"/>
        </w:rPr>
        <w:t xml:space="preserve">Marga Sanz. </w:t>
      </w:r>
    </w:p>
    <w:p w14:paraId="1897F1BD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18219C34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Textos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complementaris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gran interés,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citats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durant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el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debat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</w:t>
      </w:r>
    </w:p>
    <w:p w14:paraId="5C7247BD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- Les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activitats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econòmiques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l'Església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Catòlica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no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estan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exemptes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l'impost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sobre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construccions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instal·lacions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obres.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Història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d'una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exempció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il·legal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(Primera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part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Des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l'Espanya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preconstitucional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l'any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2014) (en https://elconsultor.laley.es/content/</w:t>
      </w:r>
      <w:proofErr w:type="gram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... )</w:t>
      </w:r>
      <w:proofErr w:type="gram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2736F720" w14:textId="77777777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Les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activitats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econòmiques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l'Església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Catòlica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no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estan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exemptes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l'impost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sobre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construccions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,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instal·lacions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i obres.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Història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d'una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exempció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il·legal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Segona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part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: des del 2014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fins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la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recent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Sentència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27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juny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</w:t>
      </w: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lastRenderedPageBreak/>
        <w:t xml:space="preserve">Tribunal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Justícia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la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Unió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Europea) (en https://www.gtt.es/boletinjuridico/la</w:t>
      </w:r>
      <w:proofErr w:type="gram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... )</w:t>
      </w:r>
      <w:proofErr w:type="gram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260F5DB0" w14:textId="77777777" w:rsid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Sentència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del TJUE (Gran Sala) de 27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juny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2017 (en https://eur-lex.europa.eu/legal-conte</w:t>
      </w:r>
      <w:proofErr w:type="gram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... )</w:t>
      </w:r>
      <w:proofErr w:type="gram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</w:t>
      </w:r>
    </w:p>
    <w:p w14:paraId="224F3D48" w14:textId="5D12673C" w:rsidR="003C484B" w:rsidRPr="003C484B" w:rsidRDefault="003C484B" w:rsidP="003C484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-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Model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a denegar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exempció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en el *ICIO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sol·licitada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per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ens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pertanyent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a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l'Església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catòlica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. Informe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amb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proposta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de </w:t>
      </w:r>
      <w:proofErr w:type="spell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resolució</w:t>
      </w:r>
      <w:proofErr w:type="spellEnd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 xml:space="preserve"> (en https://www.dropbox.com/s/ou14zb724i3</w:t>
      </w:r>
      <w:proofErr w:type="gramStart"/>
      <w:r w:rsidRPr="003C484B"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  <w:t>... )</w:t>
      </w:r>
      <w:proofErr w:type="gramEnd"/>
    </w:p>
    <w:p w14:paraId="64A90D6F" w14:textId="77777777" w:rsidR="003C484B" w:rsidRPr="003C484B" w:rsidRDefault="003C484B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605FD419" w14:textId="77777777" w:rsidR="003C484B" w:rsidRPr="003C484B" w:rsidRDefault="003C484B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0245E4D6" w14:textId="77777777" w:rsidR="003C484B" w:rsidRPr="003C484B" w:rsidRDefault="003C484B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1BD0E1C8" w14:textId="77777777" w:rsidR="003C484B" w:rsidRPr="003C484B" w:rsidRDefault="003C484B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F0F0F"/>
          <w:kern w:val="36"/>
          <w:sz w:val="24"/>
          <w:szCs w:val="24"/>
          <w:lang w:eastAsia="es-ES"/>
          <w14:ligatures w14:val="none"/>
        </w:rPr>
      </w:pPr>
    </w:p>
    <w:p w14:paraId="3E0F4E4E" w14:textId="77777777" w:rsidR="003C484B" w:rsidRDefault="003C484B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4EFD1C90" w14:textId="77777777" w:rsidR="003C484B" w:rsidRDefault="003C484B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5BAB40AE" w14:textId="77777777" w:rsidR="003C484B" w:rsidRDefault="003C484B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</w:p>
    <w:p w14:paraId="0D4BD7C8" w14:textId="5F3DA9E3" w:rsidR="00A1481C" w:rsidRPr="00A1481C" w:rsidRDefault="00A1481C" w:rsidP="00A1481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</w:pPr>
      <w:r w:rsidRPr="00A1481C">
        <w:rPr>
          <w:rFonts w:ascii="Arial" w:eastAsia="Times New Roman" w:hAnsi="Arial" w:cs="Arial"/>
          <w:b/>
          <w:bCs/>
          <w:color w:val="0F0F0F"/>
          <w:kern w:val="36"/>
          <w:sz w:val="32"/>
          <w:szCs w:val="32"/>
          <w:lang w:eastAsia="es-ES"/>
          <w14:ligatures w14:val="none"/>
        </w:rPr>
        <w:t>El IBI y el ICIO. Los privilegios tributarios de la Iglesia en la administración local.</w:t>
      </w:r>
    </w:p>
    <w:p w14:paraId="0527C63A" w14:textId="77777777" w:rsidR="00A1481C" w:rsidRDefault="00A1481C" w:rsidP="00A1481C">
      <w:pPr>
        <w:spacing w:after="0" w:line="240" w:lineRule="auto"/>
        <w:rPr>
          <w:rFonts w:ascii="Roboto" w:eastAsia="Times New Roman" w:hAnsi="Roboto" w:cs="Times New Roman"/>
          <w:color w:val="0F0F0F"/>
          <w:kern w:val="0"/>
          <w:sz w:val="21"/>
          <w:szCs w:val="21"/>
          <w:bdr w:val="none" w:sz="0" w:space="0" w:color="auto" w:frame="1"/>
          <w:lang w:eastAsia="es-ES"/>
          <w14:ligatures w14:val="none"/>
        </w:rPr>
      </w:pPr>
    </w:p>
    <w:p w14:paraId="33245278" w14:textId="71BA8A1E" w:rsidR="00A1481C" w:rsidRPr="00A1481C" w:rsidRDefault="00A1481C" w:rsidP="00A1481C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216 </w:t>
      </w:r>
      <w:proofErr w:type="gramStart"/>
      <w:r w:rsidRPr="00A1481C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Visualizaciones</w:t>
      </w:r>
      <w:proofErr w:type="gramEnd"/>
      <w:r w:rsidRPr="00A1481C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 </w:t>
      </w:r>
    </w:p>
    <w:p w14:paraId="2E67BDB9" w14:textId="77777777" w:rsidR="00A1481C" w:rsidRPr="00A1481C" w:rsidRDefault="00A1481C" w:rsidP="00A1481C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36D80BFE" w14:textId="3DFBFA75" w:rsidR="00A1481C" w:rsidRPr="00A1481C" w:rsidRDefault="00A1481C" w:rsidP="00A1481C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color w:val="0F0F0F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Noviembre 22, 2021 </w:t>
      </w:r>
    </w:p>
    <w:p w14:paraId="00370FDF" w14:textId="77777777" w:rsidR="00A1481C" w:rsidRPr="00A1481C" w:rsidRDefault="00A1481C" w:rsidP="00A1481C">
      <w:pPr>
        <w:spacing w:after="0" w:line="240" w:lineRule="auto"/>
        <w:rPr>
          <w:rFonts w:ascii="Arial" w:eastAsia="Times New Roman" w:hAnsi="Arial" w:cs="Arial"/>
          <w:color w:val="0F0F0F"/>
          <w:kern w:val="0"/>
          <w:sz w:val="24"/>
          <w:szCs w:val="24"/>
          <w:lang w:eastAsia="es-ES"/>
          <w14:ligatures w14:val="none"/>
        </w:rPr>
      </w:pPr>
    </w:p>
    <w:p w14:paraId="05B0AB91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Coloquio-debate organizado por el </w:t>
      </w:r>
      <w:proofErr w:type="spellStart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Institut</w:t>
      </w:r>
      <w:proofErr w:type="spellEnd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d'Estudis</w:t>
      </w:r>
      <w:proofErr w:type="spellEnd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  <w:proofErr w:type="spellStart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Politics</w:t>
      </w:r>
      <w:proofErr w:type="spellEnd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, realizado 22 de noviembre de 2021, con la participación de:</w:t>
      </w:r>
    </w:p>
    <w:p w14:paraId="0DBE4444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</w:t>
      </w:r>
      <w:r w:rsidRPr="003C484B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Juan José Picó Pastor</w:t>
      </w: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presidente de Europa Laica, quien trató de las cuestiones políticas subyacentes, como los acuerdos </w:t>
      </w:r>
      <w:proofErr w:type="spellStart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pre-constitucionales</w:t>
      </w:r>
      <w:proofErr w:type="spellEnd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y el Concordato con la Santa Sede. </w:t>
      </w:r>
    </w:p>
    <w:p w14:paraId="57CE0321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</w:t>
      </w:r>
      <w:r w:rsidRPr="003C484B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Teresa Calvo Sales</w:t>
      </w: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abogada, especialista en gestión tributaria, TAG del Ayuntamiento de Madrid y una de las responsables de la histórica sentencia del TJUE del 27 de junio de 2017 que </w:t>
      </w:r>
      <w:proofErr w:type="spellStart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prohibe</w:t>
      </w:r>
      <w:proofErr w:type="spellEnd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la exención fiscal en el ICIO para locales cuyo fin no sea estrictamente religioso, quien planteó el alcance y pormenores del litigio. </w:t>
      </w:r>
    </w:p>
    <w:p w14:paraId="164F9289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</w:t>
      </w:r>
      <w:r w:rsidRPr="003C484B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Borja Sanjuán Roca</w:t>
      </w: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, </w:t>
      </w:r>
      <w:proofErr w:type="gramStart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Concejal</w:t>
      </w:r>
      <w:proofErr w:type="gramEnd"/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de Hacienda del Ayuntamiento de Valencia, que expuso la situación actual en el ayuntamiento de Valencia, sus razones y perspectivas. </w:t>
      </w:r>
    </w:p>
    <w:p w14:paraId="183C5BE5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Modera: </w:t>
      </w:r>
      <w:r w:rsidRPr="003C484B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>Marga Sanz.</w:t>
      </w: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</w:t>
      </w:r>
    </w:p>
    <w:p w14:paraId="734B22EF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</w:p>
    <w:p w14:paraId="15F3285C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Textos complementarios de gran interés, citados durante el debate: </w:t>
      </w:r>
    </w:p>
    <w:p w14:paraId="7D6EBD48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- Las actividades económicas de la Iglesia Católica no están exentas del impuesto sobre construcciones, instalaciones y obras. Historia de una exención ilegal (Primera parte: Desde la España preconstitucional hasta el año 2014) (en </w:t>
      </w:r>
      <w:hyperlink r:id="rId5" w:tgtFrame="_blank" w:history="1">
        <w:r w:rsidRPr="00A1481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https://elconsultor.laley.es/Content/...</w:t>
        </w:r>
      </w:hyperlink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).</w:t>
      </w:r>
    </w:p>
    <w:p w14:paraId="3814662D" w14:textId="77777777" w:rsidR="00A1481C" w:rsidRDefault="00A1481C" w:rsidP="00A1481C">
      <w:pPr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</w:pPr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lastRenderedPageBreak/>
        <w:t xml:space="preserve"> - Las actividades económicas de la Iglesia Católica no están exentas del impuesto sobre construcciones, instalaciones y obras. Historia de una exención ilegal (Segunda parte: desde el 2014 hasta la reciente Sentencia de 27 de junio del Tribunal de Justicia de la Unión Europea) (en </w:t>
      </w:r>
      <w:hyperlink r:id="rId6" w:tgtFrame="_blank" w:history="1">
        <w:r w:rsidRPr="00A1481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https://www.gtt.es/boletinjuridico/la...</w:t>
        </w:r>
      </w:hyperlink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).</w:t>
      </w:r>
    </w:p>
    <w:p w14:paraId="34D4E201" w14:textId="1C605E75" w:rsidR="00381B26" w:rsidRDefault="00A1481C" w:rsidP="00A1481C"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- Sentencia del TJUE (Gran Sala) de 27 de junio de 2017 (en </w:t>
      </w:r>
      <w:hyperlink r:id="rId7" w:tgtFrame="_blank" w:history="1">
        <w:r w:rsidRPr="00A1481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https://eur-lex.europa.eu/legal-conte...</w:t>
        </w:r>
      </w:hyperlink>
      <w:r w:rsidRPr="00A1481C">
        <w:rPr>
          <w:rFonts w:ascii="Arial" w:eastAsia="Times New Roman" w:hAnsi="Arial" w:cs="Arial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). - Modelo para denegar exención en el ICIO solicitada por ente perteneciente a la Iglesia católica. Informe con propuesta de resolución (en </w:t>
      </w:r>
      <w:hyperlink r:id="rId8" w:tgtFrame="_blank" w:history="1">
        <w:r w:rsidRPr="00A1481C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es-ES"/>
            <w14:ligatures w14:val="none"/>
          </w:rPr>
          <w:t>https://www.dropbox.com/s/ou14zb724i3...</w:t>
        </w:r>
      </w:hyperlink>
      <w:r w:rsidRPr="00A1481C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es-ES"/>
          <w14:ligatures w14:val="none"/>
        </w:rPr>
        <w:t xml:space="preserve"> )</w:t>
      </w:r>
    </w:p>
    <w:sectPr w:rsidR="00381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C6"/>
    <w:rsid w:val="00240CE6"/>
    <w:rsid w:val="00381B26"/>
    <w:rsid w:val="003C484B"/>
    <w:rsid w:val="00A1481C"/>
    <w:rsid w:val="00AD52CE"/>
    <w:rsid w:val="00EE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C00D"/>
  <w15:chartTrackingRefBased/>
  <w15:docId w15:val="{EE034886-055A-4A39-A0F3-AC833A66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direct?event=video_description&amp;redir_token=QUFFLUhqbHpVNko4T2xZNm9xRjNEa2c1UV9IQ1pwZXJHd3xBQ3Jtc0ttRU02cnFQb3VtdEg4MnVVQVVCSllWNndYQ0cwUUF2a1NRbkhsMi1NV25iY2hwZTl6aUxQcVotb0hZQlVRU0FhY3V2eVdPSTFPdW41WEFxTkQtVldkZlNhUkZIWHNVSGo0LXhQdS05bFdxazRxdFR2RQ&amp;q=https%3A%2F%2Fwww.dropbox.com%2Fs%2Fou14zb724i3z0lf%2FMODELO%2520Informe%2520con%2520propuesta%2520de%2520resoluci%25C3%25B3n%2520DENEGAR.docx%3Fdl%3D0&amp;v=pUPv745hm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event=video_description&amp;redir_token=QUFFLUhqbllRNmJfa0JYWWxBRWpXSEtEb2hCTmc4OHd4Z3xBQ3Jtc0tuYnhiOTdxZTVyXzdpZl8teGZfMGh6VlZKMFlKdGtJbDZEZXRZbElMck9ZWVItUzhveUVWQzVUNi0yamNkajNzaEpxUEdyRmNfR0VRVGdXUlhSaDFzNmRFa3F1bG9fcFBEMTZMUzBvX3gyNFJqSnlacw&amp;q=https%3A%2F%2Feur-lex.europa.eu%2Flegal-content%2FES%2FALL%2F%3Furi%3DCELEX%3A62016CJ0074&amp;v=pUPv745hm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direct?event=video_description&amp;redir_token=QUFFLUhqbVA5bnU0U0cwdDVGT0JQckFfVlNacy11Q2FJd3xBQ3Jtc0ttbXJveU1aWHZKZHdiNVJOVlgybWxTY1JBcWZrYVZOdWhRTmp6TVFWWlBROUpzVmNkQ25BakR4b1NXYUtySUY1b3BrcS1uWmgwN0xqRmgwcEF5cVFRSVY3a1plclFVTVd0eU5ZcllhanVBRnVqeWd1Yw&amp;q=https%3A%2F%2Fwww.gtt.es%2Fboletinjuridico%2Flas-actividades-economicas-de-la-iglesia-catolica-no-estan-exentas-del-impuesto-sobre-construcciones-instalaciones-y-obras-historia-de-una-exencion-ilegal-segunda-parte%2F&amp;v=pUPv745hmds" TargetMode="External"/><Relationship Id="rId5" Type="http://schemas.openxmlformats.org/officeDocument/2006/relationships/hyperlink" Target="https://www.youtube.com/redirect?event=video_description&amp;redir_token=QUFFLUhqbm81Rkwza2dZZVZQSEQzWGVBcDUxcU51ak0zUXxBQ3Jtc0tuSl9hQVhsMVR2b1lOVnlPRUpCeEVfWUhJN1JhU25PQ0dEaTBkZHc3LTJVY2w1UHBJc3A5WjdvY0Y3bUlNem9BVkVuZS1MQVpSV1owTlQ3N3Q3enkxODdWNUkyZTNudi1QWDRpWjV2VnU5UzI4aTlyVQ&amp;q=https%3A%2F%2Felconsultor.laley.es%2FContent%2FDocumento.aspx%3Fparams%3DH4sIAAAAAAAEAMtMSbF1CTEAAiNTQwtjS7Wy1KLizPw8WyMDQ3MDcyNTkEBmWqVLfnJIZUGqbVpiTnEqAI88TNA1AAAAWKE&amp;v=pUPv745hmd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fernandez cabello</dc:creator>
  <cp:keywords/>
  <dc:description/>
  <cp:lastModifiedBy>jose antonio fernandez cabello</cp:lastModifiedBy>
  <cp:revision>4</cp:revision>
  <dcterms:created xsi:type="dcterms:W3CDTF">2023-06-06T16:18:00Z</dcterms:created>
  <dcterms:modified xsi:type="dcterms:W3CDTF">2023-06-13T17:11:00Z</dcterms:modified>
</cp:coreProperties>
</file>